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февраля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УКАЗА ПРЕЗИДЕНТА РОССИЙСКОЙ ФЕДЕРАЦИИ ОТ 10</w:t>
      </w:r>
    </w:p>
    <w:p>
      <w:pPr>
        <w:pStyle w:val="2"/>
        <w:jc w:val="center"/>
      </w:pPr>
      <w:r>
        <w:rPr>
          <w:sz w:val="20"/>
        </w:rPr>
        <w:t xml:space="preserve">ДЕКАБРЯ 2020 ГОДА N 778 "О МЕРАХ ПО РЕАЛИЗАЦИИ ОТДЕЛЬНЫХ</w:t>
      </w:r>
    </w:p>
    <w:p>
      <w:pPr>
        <w:pStyle w:val="2"/>
        <w:jc w:val="center"/>
      </w:pPr>
      <w:r>
        <w:rPr>
          <w:sz w:val="20"/>
        </w:rPr>
        <w:t xml:space="preserve">ПОЛОЖЕНИЙ ФЕДЕРАЛЬНОГО ЗАКОНА "О ЦИФРОВЫХ ФИНАНСОВЫХ</w:t>
      </w:r>
    </w:p>
    <w:p>
      <w:pPr>
        <w:pStyle w:val="2"/>
        <w:jc w:val="center"/>
      </w:pPr>
      <w:r>
        <w:rPr>
          <w:sz w:val="20"/>
        </w:rPr>
        <w:t xml:space="preserve">АКТИВАХ, ЦИФРОВОЙ ВАЛЮТЕ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с 1 января по 30 июня 2021 года включительно граждане, претендующие на замещение государственных должностей Республики Бурятия (за исключением лиц, претендующих на замещение государственных должностей в Народном Хурале Республики Бурятия), муниципальных должностей в Республике Бурятия, должностей государственной гражданской службы Республики Бурятия, руководителей государственных учреждений Республики Бурятия, а также государственные гражданские служащие Республики Бурятия, замещающие должности государственной гражданской службы, не предусмотренные перечнем должностей, утвержденным </w:t>
      </w:r>
      <w:hyperlink w:history="0" r:id="rId7" w:tooltip="Указ Президента РБ от 13.08.2009 N 288 (ред. от 27.05.2015) &quot;Об определении должностей государственной гражданской службы Республики Бурятия, при замещении которых государственные гражданские служащие Республики Буря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Бурятия от 13 августа 2009 года N 288 "Об определении должностей государственной гражданской службы Республики Бурятия, при замещении которых государственные гражданские служащие Республики Бурятия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государственной гражданской службы Республики Бурятия, предусмотренных этим указом, вместе со сведениями, представляемыми по форме </w:t>
      </w:r>
      <w:hyperlink w:history="0" r:id="rId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представляется лицами, указанными в </w:t>
      </w:r>
      <w:hyperlink w:history="0" w:anchor="P15" w:tooltip="1. Установить, что с 1 января по 30 июня 2021 года включительно граждане, претендующие на замещение государственных должностей Республики Бурятия (за исключением лиц, претендующих на замещение государственных должностей в Народном Хурале Республики Бурятия), муниципальных должностей в Республике Бурятия, должностей государственной гражданской службы Республики Бурятия, руководителей государственных учреждений Республики Бурятия, а также государственные гражданские служащие Республики Бурятия, замещающие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указа, по состоянию на первое число месяца, предшествующего месяцу подачи документов для замещения соответствующей должности, по </w:t>
      </w:r>
      <w:hyperlink w:history="0" r:id="rId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Республике Бурятия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через десять дней после дня его официального опубликования и распространяет свое действие на правоотношения, возникшие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8 февраля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39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08.02.2021 N 39</w:t>
            <w:br/>
            <w:t>"О реализации Указа Президента Российской Федерации от 10 декабря 2020 года N 778 "О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РБ от 08.02.2021 N 39 "О реализации Указа Президента Российской Федерации от 10 декабря 2020 года N 778 "О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2C18F4A6831F5427589C615FABCA95F4AA0B2910BBF530E3DFE679C0DD270D01C171289BE2A1DCB933858867D936EC27A26DFF20A1C0C7DY1s2F" TargetMode = "External"/>
	<Relationship Id="rId7" Type="http://schemas.openxmlformats.org/officeDocument/2006/relationships/hyperlink" Target="consultantplus://offline/ref=F2C18F4A6831F5427589D818ECD0F4574CACEC990ABB5A5C60A13CC15ADB7A875B584BD9FA7F10CA9B2D0CDF27C463C0Y7s1F" TargetMode = "External"/>
	<Relationship Id="rId8" Type="http://schemas.openxmlformats.org/officeDocument/2006/relationships/hyperlink" Target="consultantplus://offline/ref=15152A6818C1FAF21F54853149E73178455D2E44163C90D157FB2BECFA8186011D33000ED9D440E4EFF5998786927D8C2D063F2347056467ZAs7F" TargetMode = "External"/>
	<Relationship Id="rId9" Type="http://schemas.openxmlformats.org/officeDocument/2006/relationships/hyperlink" Target="consultantplus://offline/ref=15152A6818C1FAF21F54853149E73178455D2E491A3990D157FB2BECFA8186011D33000ED9D440E1EDF5998786927D8C2D063F2347056467ZAs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08.02.2021 N 39
"О реализации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terms:created xsi:type="dcterms:W3CDTF">2022-08-09T05:44:24Z</dcterms:created>
</cp:coreProperties>
</file>